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南方报业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防疫物资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采购合作协议</w:t>
      </w:r>
    </w:p>
    <w:p>
      <w:pPr>
        <w:rPr>
          <w:rFonts w:ascii="宋体" w:hAnsi="宋体" w:cs="宋体"/>
          <w:b/>
          <w:sz w:val="24"/>
        </w:rPr>
      </w:pPr>
    </w:p>
    <w:p>
      <w:pPr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甲方：广东南方报业传媒控股有限公司</w:t>
      </w:r>
    </w:p>
    <w:p>
      <w:pPr>
        <w:spacing w:after="156" w:afterLines="50"/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乙方：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民法典</w:t>
      </w:r>
      <w:r>
        <w:rPr>
          <w:rFonts w:hint="eastAsia" w:ascii="仿宋_GB2312" w:hAnsi="仿宋_GB2312" w:eastAsia="仿宋_GB2312" w:cs="仿宋_GB2312"/>
          <w:sz w:val="28"/>
          <w:szCs w:val="28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有关规定，双方就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南方报业2021下半年防疫物资供应商入围比选项目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协商一致，签订本协议，合作期限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31日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合作方式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甲方根据实际需求数量，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分批次</w:t>
      </w:r>
      <w:r>
        <w:rPr>
          <w:rFonts w:hint="eastAsia" w:ascii="仿宋_GB2312" w:hAnsi="仿宋_GB2312" w:eastAsia="仿宋_GB2312" w:cs="仿宋_GB2312"/>
          <w:sz w:val="28"/>
          <w:szCs w:val="28"/>
        </w:rPr>
        <w:t>向乙方询价采购医用外科口罩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及防疫物资</w:t>
      </w:r>
      <w:r>
        <w:rPr>
          <w:rFonts w:hint="eastAsia" w:ascii="仿宋_GB2312" w:hAnsi="仿宋_GB2312" w:eastAsia="仿宋_GB2312" w:cs="仿宋_GB2312"/>
          <w:sz w:val="28"/>
          <w:szCs w:val="28"/>
        </w:rPr>
        <w:t>，乙方须积极配合甲方产品询价，及时通过密封函件或邮件等方式向甲方提供可供产品报价及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28"/>
          <w:szCs w:val="28"/>
        </w:rPr>
        <w:t>样品，并保证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</w:rPr>
        <w:t>不高于市场同类产品价格。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质量要求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乙方提供产品质量须符合国家相关标准及有关法规的要求，产品包装须符合国家有关规定及货物运输要求。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以</w:t>
      </w:r>
      <w:r>
        <w:rPr>
          <w:rFonts w:ascii="仿宋_GB2312" w:hAnsi="仿宋_GB2312" w:eastAsia="仿宋_GB2312" w:cs="仿宋_GB2312"/>
          <w:sz w:val="28"/>
          <w:szCs w:val="28"/>
        </w:rPr>
        <w:t>当期询价中选</w:t>
      </w:r>
      <w:r>
        <w:rPr>
          <w:rFonts w:hint="eastAsia" w:ascii="仿宋_GB2312" w:hAnsi="仿宋_GB2312" w:eastAsia="仿宋_GB2312" w:cs="仿宋_GB2312"/>
          <w:sz w:val="28"/>
          <w:szCs w:val="28"/>
        </w:rPr>
        <w:t>产品</w:t>
      </w:r>
      <w:r>
        <w:rPr>
          <w:rFonts w:ascii="仿宋_GB2312" w:hAnsi="仿宋_GB2312" w:eastAsia="仿宋_GB2312" w:cs="仿宋_GB2312"/>
          <w:sz w:val="28"/>
          <w:szCs w:val="28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</w:rPr>
        <w:t>为</w:t>
      </w:r>
      <w:r>
        <w:rPr>
          <w:rFonts w:ascii="仿宋_GB2312" w:hAnsi="仿宋_GB2312" w:eastAsia="仿宋_GB2312" w:cs="仿宋_GB2312"/>
          <w:sz w:val="28"/>
          <w:szCs w:val="28"/>
        </w:rPr>
        <w:t>交易价格，按实际采购数量进行</w:t>
      </w:r>
      <w:r>
        <w:rPr>
          <w:rFonts w:hint="eastAsia" w:ascii="仿宋_GB2312" w:hAnsi="仿宋_GB2312" w:eastAsia="仿宋_GB2312" w:cs="仿宋_GB2312"/>
          <w:sz w:val="28"/>
          <w:szCs w:val="28"/>
        </w:rPr>
        <w:t>结算。乙方报价应包含产品、税费、运费等一切费用。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交货方式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甲方每批次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口罩</w:t>
      </w:r>
      <w:r>
        <w:rPr>
          <w:rFonts w:hint="eastAsia" w:ascii="仿宋_GB2312" w:hAnsi="仿宋_GB2312" w:eastAsia="仿宋_GB2312" w:cs="仿宋_GB2312"/>
          <w:sz w:val="28"/>
          <w:szCs w:val="28"/>
        </w:rPr>
        <w:t>需求数量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10-30</w:t>
      </w:r>
      <w:r>
        <w:rPr>
          <w:rFonts w:hint="eastAsia" w:ascii="仿宋_GB2312" w:hAnsi="仿宋_GB2312" w:eastAsia="仿宋_GB2312" w:cs="仿宋_GB2312"/>
          <w:sz w:val="28"/>
          <w:szCs w:val="28"/>
        </w:rPr>
        <w:t>万个，乙方按甲方实际需求数量完成供货。每次供货前，甲方通过电话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、信息</w:t>
      </w:r>
      <w:r>
        <w:rPr>
          <w:rFonts w:hint="eastAsia" w:ascii="仿宋_GB2312" w:hAnsi="仿宋_GB2312" w:eastAsia="仿宋_GB2312" w:cs="仿宋_GB2312"/>
          <w:sz w:val="28"/>
          <w:szCs w:val="28"/>
        </w:rPr>
        <w:t>等方式下单；乙方收到通知后，需在5个日历天内完成上门交货，并承担运输过程中所产生的费用及风险。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2" w:firstLineChars="200"/>
        <w:textAlignment w:val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收货验货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甲方在收到货物后当天验收，验收时若发现产品与所订购产品不符或破损、短少的，甲方应在两天内通知乙方，乙方应当补偿甲方或办理退货。对于存在质量问题的产品，乙方须无条件办理退换。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2" w:firstLineChars="200"/>
        <w:textAlignment w:val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结算方式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甲方收到货物并验收合格后，乙方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向甲方提供</w:t>
      </w:r>
      <w:r>
        <w:rPr>
          <w:rFonts w:hint="eastAsia" w:ascii="仿宋_GB2312" w:hAnsi="仿宋_GB2312" w:eastAsia="仿宋_GB2312" w:cs="仿宋_GB2312"/>
          <w:sz w:val="28"/>
          <w:szCs w:val="28"/>
        </w:rPr>
        <w:t>增值税专用发票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，甲方在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日内以银行转账等方式将货款汇入乙方以下账号：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账号名：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银行账号：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开户行：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甲方</w:t>
      </w:r>
      <w:r>
        <w:rPr>
          <w:rFonts w:hint="eastAsia" w:ascii="仿宋_GB2312" w:hAnsi="仿宋_GB2312" w:eastAsia="仿宋_GB2312" w:cs="仿宋_GB2312"/>
          <w:sz w:val="28"/>
          <w:szCs w:val="28"/>
        </w:rPr>
        <w:t>开票信息如下：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名称：广东南方报业传媒控股有限公司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纳税人识别号：91440000190372621G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地址：广州市越秀区广州大道中289号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电话：87373998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开户行：建行广州五羊新城支行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银行账号：44001400905050081413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2" w:firstLineChars="200"/>
        <w:textAlignment w:val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1.乙方如不能按期交货，则退还未交货部分的已收货款。甲方需按约定及时付清货款给乙方，如甲方不能在双方约定的期限付清货款的，乙方可暂停合作及发货。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甲方将随时抽查乙方提供的全部产品质量，如发现不符合本协议规定的质量标准要求的产品，经一次退换后仍不能达到协议规定的质量标准的，甲方有权要求退回该部分产品价款；如因物资不合格等乙方原因造成甲方损失的，乙方须赔偿甲方一切损失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2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争议解决：</w:t>
      </w:r>
      <w:r>
        <w:rPr>
          <w:rFonts w:hint="eastAsia" w:ascii="仿宋_GB2312" w:hAnsi="仿宋_GB2312" w:eastAsia="仿宋_GB2312" w:cs="仿宋_GB2312"/>
          <w:sz w:val="28"/>
          <w:szCs w:val="28"/>
        </w:rPr>
        <w:t>双方友好协商解决，协商不成，可向甲方所在地人民法院提起诉讼。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00" w:lineRule="exact"/>
        <w:ind w:left="0" w:firstLine="562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附则：</w:t>
      </w:r>
      <w:r>
        <w:rPr>
          <w:rFonts w:hint="eastAsia" w:ascii="仿宋_GB2312" w:hAnsi="仿宋_GB2312" w:eastAsia="仿宋_GB2312" w:cs="仿宋_GB2312"/>
          <w:sz w:val="28"/>
          <w:szCs w:val="28"/>
        </w:rPr>
        <w:t>本协议一式肆份，甲乙双方各持贰份，具有同等法律效力。</w:t>
      </w:r>
    </w:p>
    <w:tbl>
      <w:tblPr>
        <w:tblStyle w:val="8"/>
        <w:tblW w:w="9691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00"/>
        <w:gridCol w:w="1650"/>
        <w:gridCol w:w="3165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876" w:type="dxa"/>
            <w:gridSpan w:val="2"/>
            <w:tcBorders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甲方（盖章）：</w:t>
            </w:r>
          </w:p>
        </w:tc>
        <w:tc>
          <w:tcPr>
            <w:tcW w:w="4815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乙方（盖章）：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76" w:type="dxa"/>
            <w:gridSpan w:val="2"/>
            <w:tcBorders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广东南方报业传媒控股有限公司</w:t>
            </w:r>
            <w:bookmarkEnd w:id="0"/>
          </w:p>
        </w:tc>
        <w:tc>
          <w:tcPr>
            <w:tcW w:w="4815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6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签约代表：</w:t>
            </w:r>
          </w:p>
        </w:tc>
        <w:tc>
          <w:tcPr>
            <w:tcW w:w="3300" w:type="dxa"/>
            <w:tcBorders>
              <w:top w:val="nil"/>
              <w:bottom w:val="nil"/>
            </w:tcBorders>
            <w:vAlign w:val="center"/>
          </w:tcPr>
          <w:p>
            <w:pPr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签约代表：</w:t>
            </w:r>
          </w:p>
        </w:tc>
        <w:tc>
          <w:tcPr>
            <w:tcW w:w="3165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6" w:type="dxa"/>
            <w:tcBorders>
              <w:top w:val="nil"/>
              <w:left w:val="nil"/>
            </w:tcBorders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签约日期：</w:t>
            </w:r>
          </w:p>
        </w:tc>
        <w:tc>
          <w:tcPr>
            <w:tcW w:w="3300" w:type="dxa"/>
            <w:tcBorders>
              <w:top w:val="nil"/>
            </w:tcBorders>
            <w:vAlign w:val="center"/>
          </w:tcPr>
          <w:p>
            <w:pPr>
              <w:spacing w:before="156" w:beforeLines="50"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  <w:tc>
          <w:tcPr>
            <w:tcW w:w="1650" w:type="dxa"/>
            <w:tcBorders>
              <w:top w:val="nil"/>
            </w:tcBorders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签约日期：</w:t>
            </w:r>
          </w:p>
        </w:tc>
        <w:tc>
          <w:tcPr>
            <w:tcW w:w="3165" w:type="dxa"/>
            <w:tcBorders>
              <w:top w:val="nil"/>
              <w:right w:val="nil"/>
            </w:tcBorders>
            <w:vAlign w:val="center"/>
          </w:tcPr>
          <w:p>
            <w:pPr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日</w:t>
            </w:r>
          </w:p>
        </w:tc>
      </w:tr>
    </w:tbl>
    <w:p>
      <w:pPr>
        <w:spacing w:line="0" w:lineRule="atLeast"/>
        <w:rPr>
          <w:rFonts w:ascii="宋体" w:hAnsi="宋体" w:cs="宋体"/>
          <w:sz w:val="28"/>
          <w:szCs w:val="28"/>
        </w:rPr>
      </w:pPr>
    </w:p>
    <w:sectPr>
      <w:footerReference r:id="rId3" w:type="default"/>
      <w:pgSz w:w="11906" w:h="16838"/>
      <w:pgMar w:top="1361" w:right="1440" w:bottom="1134" w:left="1440" w:header="851" w:footer="709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CB71F7"/>
    <w:multiLevelType w:val="singleLevel"/>
    <w:tmpl w:val="EDCB71F7"/>
    <w:lvl w:ilvl="0" w:tentative="0">
      <w:start w:val="5"/>
      <w:numFmt w:val="chineseCounting"/>
      <w:suff w:val="nothing"/>
      <w:lvlText w:val="%1、"/>
      <w:lvlJc w:val="left"/>
      <w:pPr>
        <w:tabs>
          <w:tab w:val="left" w:pos="0"/>
        </w:tabs>
        <w:ind w:left="-62"/>
      </w:pPr>
      <w:rPr>
        <w:rFonts w:hint="eastAsia"/>
        <w:b/>
        <w:bCs/>
      </w:rPr>
    </w:lvl>
  </w:abstractNum>
  <w:abstractNum w:abstractNumId="1">
    <w:nsid w:val="68702B59"/>
    <w:multiLevelType w:val="singleLevel"/>
    <w:tmpl w:val="68702B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4BED"/>
    <w:rsid w:val="000548AB"/>
    <w:rsid w:val="000A41E5"/>
    <w:rsid w:val="00172A27"/>
    <w:rsid w:val="00194E9A"/>
    <w:rsid w:val="001E11B2"/>
    <w:rsid w:val="00260592"/>
    <w:rsid w:val="002B111D"/>
    <w:rsid w:val="00381682"/>
    <w:rsid w:val="003C0F0E"/>
    <w:rsid w:val="0041529B"/>
    <w:rsid w:val="00427844"/>
    <w:rsid w:val="004323ED"/>
    <w:rsid w:val="00496610"/>
    <w:rsid w:val="005C66C3"/>
    <w:rsid w:val="00622E82"/>
    <w:rsid w:val="00886DBF"/>
    <w:rsid w:val="00904BAC"/>
    <w:rsid w:val="00BA7C4E"/>
    <w:rsid w:val="00C541BB"/>
    <w:rsid w:val="00D2555B"/>
    <w:rsid w:val="00D42D03"/>
    <w:rsid w:val="00F17031"/>
    <w:rsid w:val="00FA059C"/>
    <w:rsid w:val="00FB6095"/>
    <w:rsid w:val="021661B8"/>
    <w:rsid w:val="03802CE6"/>
    <w:rsid w:val="04B43064"/>
    <w:rsid w:val="07893751"/>
    <w:rsid w:val="0A576830"/>
    <w:rsid w:val="0EF903FF"/>
    <w:rsid w:val="0EFB3D83"/>
    <w:rsid w:val="0F9C4EFC"/>
    <w:rsid w:val="11382C47"/>
    <w:rsid w:val="143229C2"/>
    <w:rsid w:val="14622C88"/>
    <w:rsid w:val="146D56DF"/>
    <w:rsid w:val="147B7543"/>
    <w:rsid w:val="152E780E"/>
    <w:rsid w:val="18ED6768"/>
    <w:rsid w:val="199412B7"/>
    <w:rsid w:val="1A351416"/>
    <w:rsid w:val="1B96614B"/>
    <w:rsid w:val="1C2430E6"/>
    <w:rsid w:val="1CD43E33"/>
    <w:rsid w:val="1EBA36FA"/>
    <w:rsid w:val="1F5044A8"/>
    <w:rsid w:val="21894B14"/>
    <w:rsid w:val="225B00B1"/>
    <w:rsid w:val="22C971A7"/>
    <w:rsid w:val="2A3D5F9B"/>
    <w:rsid w:val="2BE15D8E"/>
    <w:rsid w:val="2C0123B3"/>
    <w:rsid w:val="2C5617E7"/>
    <w:rsid w:val="305A5B1D"/>
    <w:rsid w:val="394C3EA6"/>
    <w:rsid w:val="39B47200"/>
    <w:rsid w:val="39CB1AC7"/>
    <w:rsid w:val="3B1172DB"/>
    <w:rsid w:val="3B2C554B"/>
    <w:rsid w:val="400501E5"/>
    <w:rsid w:val="402D69C9"/>
    <w:rsid w:val="407714AC"/>
    <w:rsid w:val="45730D4D"/>
    <w:rsid w:val="45B23EEC"/>
    <w:rsid w:val="4B373453"/>
    <w:rsid w:val="4E6A0096"/>
    <w:rsid w:val="51CA0746"/>
    <w:rsid w:val="53380A2E"/>
    <w:rsid w:val="533B079F"/>
    <w:rsid w:val="53976EFD"/>
    <w:rsid w:val="558D65F3"/>
    <w:rsid w:val="55903332"/>
    <w:rsid w:val="56777D85"/>
    <w:rsid w:val="568F7A24"/>
    <w:rsid w:val="573904AA"/>
    <w:rsid w:val="57B80B66"/>
    <w:rsid w:val="59EA29BF"/>
    <w:rsid w:val="5ABC1C8D"/>
    <w:rsid w:val="5FEA02EC"/>
    <w:rsid w:val="606F3315"/>
    <w:rsid w:val="61393BBE"/>
    <w:rsid w:val="62EE3084"/>
    <w:rsid w:val="65555135"/>
    <w:rsid w:val="65CA1B60"/>
    <w:rsid w:val="660F4D7A"/>
    <w:rsid w:val="68B40EF2"/>
    <w:rsid w:val="6A5100DD"/>
    <w:rsid w:val="6CAB169B"/>
    <w:rsid w:val="6D535020"/>
    <w:rsid w:val="6F787040"/>
    <w:rsid w:val="6FB04008"/>
    <w:rsid w:val="70EB5589"/>
    <w:rsid w:val="71747882"/>
    <w:rsid w:val="775902F9"/>
    <w:rsid w:val="775E7401"/>
    <w:rsid w:val="78C311C0"/>
    <w:rsid w:val="792B0F67"/>
    <w:rsid w:val="7A97662A"/>
    <w:rsid w:val="7BC76BB4"/>
    <w:rsid w:val="7C1F4E81"/>
    <w:rsid w:val="7DB3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列表段落1"/>
    <w:basedOn w:val="1"/>
    <w:qFormat/>
    <w:uiPriority w:val="34"/>
    <w:pPr>
      <w:ind w:left="480" w:leftChars="200"/>
    </w:pPr>
  </w:style>
  <w:style w:type="character" w:customStyle="1" w:styleId="15">
    <w:name w:val="批注文字 Char"/>
    <w:basedOn w:val="9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6">
    <w:name w:val="批注主题 Char"/>
    <w:basedOn w:val="15"/>
    <w:link w:val="6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7">
    <w:name w:val="批注框文本 Char"/>
    <w:basedOn w:val="9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163</Words>
  <Characters>934</Characters>
  <Lines>7</Lines>
  <Paragraphs>2</Paragraphs>
  <TotalTime>1</TotalTime>
  <ScaleCrop>false</ScaleCrop>
  <LinksUpToDate>false</LinksUpToDate>
  <CharactersWithSpaces>1095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2018-08-22T08:33:00Z</dcterms:created>
  <dc:creator>Administrator</dc:creator>
  <cp:lastModifiedBy>huangzying</cp:lastModifiedBy>
  <cp:lastPrinted>2020-08-07T07:50:00Z</cp:lastPrinted>
  <dcterms:modified xsi:type="dcterms:W3CDTF">2021-07-26T01:34:13Z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